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1810882F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0E520C">
        <w:rPr>
          <w:rFonts w:ascii="Arial" w:hAnsi="Arial" w:cs="Arial"/>
          <w:snapToGrid w:val="0"/>
          <w:sz w:val="22"/>
          <w:szCs w:val="22"/>
        </w:rPr>
        <w:t>Moravskoslezský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</w:t>
      </w:r>
      <w:r w:rsidR="000E520C">
        <w:rPr>
          <w:rFonts w:ascii="Arial" w:hAnsi="Arial" w:cs="Arial"/>
          <w:sz w:val="22"/>
          <w:szCs w:val="22"/>
        </w:rPr>
        <w:t xml:space="preserve"> </w:t>
      </w:r>
      <w:r w:rsidR="007F58F4">
        <w:rPr>
          <w:rFonts w:ascii="Arial" w:hAnsi="Arial" w:cs="Arial"/>
          <w:sz w:val="22"/>
          <w:szCs w:val="22"/>
        </w:rPr>
        <w:t>Nový Jičín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7F58F4" w:rsidRPr="007F58F4">
        <w:rPr>
          <w:rFonts w:ascii="Arial" w:hAnsi="Arial" w:cs="Arial"/>
          <w:snapToGrid w:val="0"/>
          <w:sz w:val="22"/>
          <w:szCs w:val="22"/>
        </w:rPr>
        <w:t>Husova 2003/13, 741 01 Nový Jičín</w:t>
      </w:r>
    </w:p>
    <w:p w14:paraId="1E55C822" w14:textId="66D48A67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0E520C">
        <w:rPr>
          <w:rFonts w:ascii="Arial" w:hAnsi="Arial" w:cs="Arial"/>
          <w:sz w:val="22"/>
          <w:szCs w:val="22"/>
        </w:rPr>
        <w:t>Mgr. Danou Liškovou, ředitelkou Krajského pozemkového úřadu pro Moravskos</w:t>
      </w:r>
      <w:r w:rsidR="002566BF">
        <w:rPr>
          <w:rFonts w:ascii="Arial" w:hAnsi="Arial" w:cs="Arial"/>
          <w:sz w:val="22"/>
          <w:szCs w:val="22"/>
        </w:rPr>
        <w:t>le</w:t>
      </w:r>
      <w:r w:rsidR="000E520C">
        <w:rPr>
          <w:rFonts w:ascii="Arial" w:hAnsi="Arial" w:cs="Arial"/>
          <w:sz w:val="22"/>
          <w:szCs w:val="22"/>
        </w:rPr>
        <w:t>zský kraj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76AE79E1" w14:textId="53310C04" w:rsidR="000E520C" w:rsidRDefault="00797092" w:rsidP="000E520C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0E520C" w:rsidRPr="000E520C">
        <w:rPr>
          <w:rFonts w:ascii="Arial" w:hAnsi="Arial" w:cs="Arial"/>
          <w:sz w:val="22"/>
          <w:szCs w:val="22"/>
        </w:rPr>
        <w:t>Mgr. Danou Liškovou, ředitelkou Krajského pozemkového úřadu pro Moravskos</w:t>
      </w:r>
      <w:r w:rsidR="002566BF">
        <w:rPr>
          <w:rFonts w:ascii="Arial" w:hAnsi="Arial" w:cs="Arial"/>
          <w:sz w:val="22"/>
          <w:szCs w:val="22"/>
        </w:rPr>
        <w:t>le</w:t>
      </w:r>
      <w:r w:rsidR="000E520C" w:rsidRPr="000E520C">
        <w:rPr>
          <w:rFonts w:ascii="Arial" w:hAnsi="Arial" w:cs="Arial"/>
          <w:sz w:val="22"/>
          <w:szCs w:val="22"/>
        </w:rPr>
        <w:t xml:space="preserve">zský kraj </w:t>
      </w:r>
    </w:p>
    <w:p w14:paraId="75B59BEE" w14:textId="30905EF4" w:rsidR="00797092" w:rsidRPr="00014665" w:rsidRDefault="00797092" w:rsidP="002566BF">
      <w:pPr>
        <w:spacing w:after="12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7F58F4">
        <w:rPr>
          <w:rFonts w:ascii="Arial" w:hAnsi="Arial" w:cs="Arial"/>
          <w:snapToGrid w:val="0"/>
          <w:sz w:val="22"/>
          <w:szCs w:val="22"/>
        </w:rPr>
        <w:t>Bc. Hubert Mikuš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0E520C" w:rsidRPr="000E520C">
        <w:rPr>
          <w:rFonts w:ascii="Arial" w:hAnsi="Arial" w:cs="Arial"/>
          <w:sz w:val="22"/>
          <w:szCs w:val="22"/>
        </w:rPr>
        <w:t>KPÚ pro Moravskoslezský kraj</w:t>
      </w:r>
      <w:r w:rsidR="000E520C">
        <w:rPr>
          <w:rFonts w:ascii="Arial" w:hAnsi="Arial" w:cs="Arial"/>
          <w:sz w:val="22"/>
          <w:szCs w:val="22"/>
        </w:rPr>
        <w:t>,</w:t>
      </w:r>
      <w:r w:rsidR="000E520C" w:rsidRPr="000E520C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7F58F4">
        <w:rPr>
          <w:rFonts w:ascii="Arial" w:hAnsi="Arial" w:cs="Arial"/>
          <w:sz w:val="22"/>
          <w:szCs w:val="22"/>
        </w:rPr>
        <w:t>Nový Jičín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702D21A5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0E520C">
        <w:rPr>
          <w:rFonts w:ascii="Arial" w:hAnsi="Arial" w:cs="Arial"/>
          <w:snapToGrid w:val="0"/>
          <w:sz w:val="22"/>
          <w:szCs w:val="22"/>
        </w:rPr>
        <w:t>+420</w:t>
      </w:r>
      <w:r w:rsidR="007F58F4">
        <w:rPr>
          <w:rFonts w:ascii="Arial" w:hAnsi="Arial" w:cs="Arial"/>
          <w:snapToGrid w:val="0"/>
          <w:sz w:val="22"/>
          <w:szCs w:val="22"/>
        </w:rPr>
        <w:t> 725 059 943</w:t>
      </w:r>
    </w:p>
    <w:p w14:paraId="6DA97DD3" w14:textId="76E7CF79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2" w:history="1">
        <w:r w:rsidR="007F58F4" w:rsidRPr="00E91EFB">
          <w:rPr>
            <w:rStyle w:val="Hypertextovodkaz"/>
            <w:rFonts w:ascii="Arial" w:hAnsi="Arial" w:cs="Arial"/>
            <w:snapToGrid w:val="0"/>
            <w:sz w:val="22"/>
            <w:szCs w:val="22"/>
          </w:rPr>
          <w:t>h.mikus@spucr.cz</w:t>
        </w:r>
      </w:hyperlink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E520C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0E520C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0E520C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0E520C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0E520C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E520C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0E520C">
        <w:rPr>
          <w:rFonts w:ascii="Arial" w:hAnsi="Arial" w:cs="Arial"/>
          <w:sz w:val="22"/>
          <w:szCs w:val="22"/>
          <w:highlight w:val="yellow"/>
        </w:rPr>
        <w:t>zastoupená</w:t>
      </w:r>
      <w:r w:rsidRPr="000E520C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E520C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0E520C">
        <w:rPr>
          <w:rFonts w:ascii="Arial" w:hAnsi="Arial" w:cs="Arial"/>
          <w:sz w:val="22"/>
          <w:szCs w:val="22"/>
          <w:highlight w:val="yellow"/>
        </w:rPr>
        <w:t>zastoupená</w:t>
      </w:r>
      <w:r w:rsidRPr="000E520C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>E-mail: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E520C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>schránky: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0E520C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641610C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25CC0074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CF1F4C" w:rsidRPr="00CF1F4C">
        <w:rPr>
          <w:rFonts w:ascii="Arial" w:hAnsi="Arial" w:cs="Arial"/>
          <w:snapToGrid w:val="0"/>
          <w:sz w:val="22"/>
          <w:szCs w:val="22"/>
        </w:rPr>
        <w:t xml:space="preserve">Vytyčení hranic pozemků po </w:t>
      </w:r>
      <w:proofErr w:type="spellStart"/>
      <w:r w:rsidR="00CF1F4C" w:rsidRPr="00CF1F4C">
        <w:rPr>
          <w:rFonts w:ascii="Arial" w:hAnsi="Arial" w:cs="Arial"/>
          <w:snapToGrid w:val="0"/>
          <w:sz w:val="22"/>
          <w:szCs w:val="22"/>
        </w:rPr>
        <w:t>KoPÚ</w:t>
      </w:r>
      <w:proofErr w:type="spellEnd"/>
      <w:r w:rsidR="00CF1F4C" w:rsidRPr="00CF1F4C">
        <w:rPr>
          <w:rFonts w:ascii="Arial" w:hAnsi="Arial" w:cs="Arial"/>
          <w:snapToGrid w:val="0"/>
          <w:sz w:val="22"/>
          <w:szCs w:val="22"/>
        </w:rPr>
        <w:t xml:space="preserve"> v okresech Opava, Ostrava-město, Nový Jičín a Frýdek-Místek 2023</w:t>
      </w:r>
      <w:r w:rsidR="00591192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788A7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B6C7744" w14:textId="2C437B7D" w:rsidR="00DE3139" w:rsidRPr="00DE3139" w:rsidRDefault="00C05583" w:rsidP="00DE3139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E520C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76E00131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591192">
        <w:rPr>
          <w:rFonts w:ascii="Arial" w:hAnsi="Arial" w:cs="Arial"/>
          <w:sz w:val="22"/>
          <w:szCs w:val="22"/>
        </w:rPr>
        <w:t>Morav</w:t>
      </w:r>
      <w:r w:rsidR="007F58F4">
        <w:rPr>
          <w:rFonts w:ascii="Arial" w:hAnsi="Arial" w:cs="Arial"/>
          <w:sz w:val="22"/>
          <w:szCs w:val="22"/>
        </w:rPr>
        <w:t>sk</w:t>
      </w:r>
      <w:r w:rsidR="00591192">
        <w:rPr>
          <w:rFonts w:ascii="Arial" w:hAnsi="Arial" w:cs="Arial"/>
          <w:sz w:val="22"/>
          <w:szCs w:val="22"/>
        </w:rPr>
        <w:t>oslezský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7F58F4">
        <w:rPr>
          <w:rFonts w:ascii="Arial" w:hAnsi="Arial" w:cs="Arial"/>
          <w:sz w:val="22"/>
          <w:szCs w:val="22"/>
        </w:rPr>
        <w:t>Nový Jičín</w:t>
      </w:r>
      <w:r w:rsidR="00591192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05EC2FEE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59119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AB1FDB4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71FDC" w:rsidRPr="00C71FDC">
        <w:rPr>
          <w:rFonts w:ascii="Arial" w:hAnsi="Arial" w:cs="Arial"/>
          <w:sz w:val="22"/>
          <w:szCs w:val="22"/>
        </w:rPr>
        <w:t xml:space="preserve">Bartošovice, Jeseník nad Odrou, Hladké Životice, Velké Albrechtice, Hynčice u Vražného, Jistebník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4489D97C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591192" w:rsidRPr="00591192">
        <w:rPr>
          <w:rFonts w:ascii="Arial" w:hAnsi="Arial" w:cs="Arial"/>
          <w:b/>
          <w:bCs/>
          <w:sz w:val="22"/>
          <w:szCs w:val="22"/>
        </w:rPr>
        <w:t>10</w:t>
      </w:r>
      <w:r w:rsidR="006D681C" w:rsidRPr="00591192">
        <w:rPr>
          <w:rFonts w:ascii="Arial" w:hAnsi="Arial" w:cs="Arial"/>
          <w:b/>
          <w:bCs/>
          <w:sz w:val="22"/>
          <w:szCs w:val="22"/>
        </w:rPr>
        <w:t xml:space="preserve"> pracovních dní</w:t>
      </w:r>
      <w:r w:rsidR="00BA3D97" w:rsidRPr="00591192">
        <w:rPr>
          <w:rFonts w:ascii="Arial" w:hAnsi="Arial" w:cs="Arial"/>
          <w:b/>
          <w:bCs/>
          <w:sz w:val="22"/>
          <w:szCs w:val="22"/>
        </w:rPr>
        <w:t xml:space="preserve"> před termínem pro </w:t>
      </w:r>
      <w:r w:rsidR="002744AA" w:rsidRPr="00591192">
        <w:rPr>
          <w:rFonts w:ascii="Arial" w:hAnsi="Arial" w:cs="Arial"/>
          <w:b/>
          <w:bCs/>
          <w:sz w:val="22"/>
          <w:szCs w:val="22"/>
        </w:rPr>
        <w:t xml:space="preserve">předání a převzetí </w:t>
      </w:r>
      <w:r w:rsidR="00A87320" w:rsidRPr="00591192">
        <w:rPr>
          <w:rFonts w:ascii="Arial" w:hAnsi="Arial" w:cs="Arial"/>
          <w:b/>
          <w:bCs/>
          <w:sz w:val="22"/>
          <w:szCs w:val="22"/>
        </w:rPr>
        <w:t>D</w:t>
      </w:r>
      <w:r w:rsidR="00BA3D97" w:rsidRPr="00591192">
        <w:rPr>
          <w:rFonts w:ascii="Arial" w:hAnsi="Arial" w:cs="Arial"/>
          <w:b/>
          <w:bCs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F08CB02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proofErr w:type="spellStart"/>
      <w:r w:rsidR="004434E1">
        <w:rPr>
          <w:rFonts w:ascii="Arial" w:hAnsi="Arial" w:cs="Arial"/>
          <w:sz w:val="22"/>
          <w:szCs w:val="22"/>
        </w:rPr>
        <w:t>Moravoskoslezský</w:t>
      </w:r>
      <w:proofErr w:type="spellEnd"/>
      <w:r w:rsidR="004434E1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7F58F4">
        <w:rPr>
          <w:rFonts w:ascii="Arial" w:hAnsi="Arial" w:cs="Arial"/>
          <w:sz w:val="22"/>
          <w:szCs w:val="22"/>
        </w:rPr>
        <w:t>Nový Jičín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4434E1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8A26B7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B475286" w:rsidR="00FD4817" w:rsidRPr="00014665" w:rsidRDefault="003C444A" w:rsidP="008A26B7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4434E1">
        <w:rPr>
          <w:rFonts w:ascii="Arial" w:hAnsi="Arial" w:cs="Arial"/>
          <w:sz w:val="22"/>
          <w:szCs w:val="22"/>
        </w:rPr>
        <w:t xml:space="preserve"> (</w:t>
      </w:r>
      <w:r w:rsidR="004434E1">
        <w:rPr>
          <w:rFonts w:ascii="Arial" w:hAnsi="Arial" w:cs="Arial"/>
          <w:b/>
          <w:bCs/>
          <w:sz w:val="22"/>
          <w:szCs w:val="22"/>
        </w:rPr>
        <w:t>datum podpisu smlouvy + počet dní dle kritéria 2)</w:t>
      </w:r>
    </w:p>
    <w:p w14:paraId="07965649" w14:textId="083F452F" w:rsidR="00FD4817" w:rsidRPr="000F43FB" w:rsidRDefault="00FD4817" w:rsidP="008A26B7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F43FB">
        <w:rPr>
          <w:rFonts w:ascii="Arial" w:hAnsi="Arial" w:cs="Arial"/>
          <w:sz w:val="22"/>
          <w:szCs w:val="22"/>
        </w:rPr>
        <w:t xml:space="preserve">Místo plnění </w:t>
      </w:r>
      <w:r w:rsidR="00BF373E" w:rsidRPr="000F43FB">
        <w:rPr>
          <w:rFonts w:ascii="Arial" w:hAnsi="Arial" w:cs="Arial"/>
          <w:sz w:val="22"/>
          <w:szCs w:val="22"/>
        </w:rPr>
        <w:t>D</w:t>
      </w:r>
      <w:r w:rsidRPr="000F43FB">
        <w:rPr>
          <w:rFonts w:ascii="Arial" w:hAnsi="Arial" w:cs="Arial"/>
          <w:sz w:val="22"/>
          <w:szCs w:val="22"/>
        </w:rPr>
        <w:t>íla:</w:t>
      </w:r>
      <w:r w:rsidR="00977C0C" w:rsidRPr="000F43FB">
        <w:rPr>
          <w:rFonts w:ascii="Arial" w:hAnsi="Arial" w:cs="Arial"/>
          <w:sz w:val="22"/>
          <w:szCs w:val="22"/>
        </w:rPr>
        <w:t xml:space="preserve"> </w:t>
      </w:r>
      <w:r w:rsidR="00D6451F" w:rsidRPr="000F43FB">
        <w:rPr>
          <w:rFonts w:ascii="Arial" w:hAnsi="Arial" w:cs="Arial"/>
          <w:sz w:val="22"/>
          <w:szCs w:val="22"/>
        </w:rPr>
        <w:t>katastrální území:</w:t>
      </w:r>
      <w:r w:rsidR="007F58F4" w:rsidRPr="000F43FB">
        <w:rPr>
          <w:rFonts w:ascii="Arial" w:hAnsi="Arial" w:cs="Arial"/>
          <w:sz w:val="22"/>
          <w:szCs w:val="22"/>
        </w:rPr>
        <w:t xml:space="preserve"> </w:t>
      </w:r>
      <w:r w:rsidR="00022DBD" w:rsidRPr="00022DBD">
        <w:rPr>
          <w:rFonts w:ascii="Arial" w:hAnsi="Arial" w:cs="Arial"/>
          <w:sz w:val="22"/>
          <w:szCs w:val="22"/>
        </w:rPr>
        <w:t>Bartošovice, Jeseník nad Odrou, Hladké Životice, Velké Albrechtice, Hynčice u Vražného, Jistebník</w:t>
      </w:r>
      <w:r w:rsidR="00D6451F" w:rsidRPr="000F43FB">
        <w:rPr>
          <w:rFonts w:ascii="Arial" w:hAnsi="Arial" w:cs="Arial"/>
          <w:sz w:val="22"/>
          <w:szCs w:val="22"/>
        </w:rPr>
        <w:t>,</w:t>
      </w:r>
      <w:r w:rsidR="004434E1" w:rsidRPr="000F43FB">
        <w:rPr>
          <w:rFonts w:ascii="Arial" w:hAnsi="Arial" w:cs="Arial"/>
          <w:sz w:val="22"/>
          <w:szCs w:val="22"/>
        </w:rPr>
        <w:t xml:space="preserve"> </w:t>
      </w:r>
      <w:r w:rsidR="00D6451F" w:rsidRPr="000F43FB">
        <w:rPr>
          <w:rFonts w:ascii="Arial" w:hAnsi="Arial" w:cs="Arial"/>
          <w:sz w:val="22"/>
          <w:szCs w:val="22"/>
        </w:rPr>
        <w:t>okres:</w:t>
      </w:r>
      <w:r w:rsidR="004434E1" w:rsidRPr="000F43FB">
        <w:rPr>
          <w:rFonts w:ascii="Arial" w:hAnsi="Arial" w:cs="Arial"/>
          <w:sz w:val="22"/>
          <w:szCs w:val="22"/>
        </w:rPr>
        <w:t xml:space="preserve"> </w:t>
      </w:r>
      <w:r w:rsidR="007F58F4" w:rsidRPr="000F43FB">
        <w:rPr>
          <w:rFonts w:ascii="Arial" w:hAnsi="Arial" w:cs="Arial"/>
          <w:sz w:val="22"/>
          <w:szCs w:val="22"/>
        </w:rPr>
        <w:t>Nový Jičín</w:t>
      </w:r>
      <w:r w:rsidR="004434E1" w:rsidRPr="000F43FB">
        <w:rPr>
          <w:rFonts w:ascii="Arial" w:hAnsi="Arial" w:cs="Arial"/>
          <w:sz w:val="22"/>
          <w:szCs w:val="22"/>
        </w:rPr>
        <w:t xml:space="preserve"> </w:t>
      </w:r>
      <w:r w:rsidR="00500B0F" w:rsidRPr="000F43FB">
        <w:rPr>
          <w:rFonts w:ascii="Arial" w:hAnsi="Arial" w:cs="Arial"/>
          <w:sz w:val="22"/>
          <w:szCs w:val="22"/>
        </w:rPr>
        <w:t>(</w:t>
      </w:r>
      <w:r w:rsidR="00D6451F" w:rsidRPr="000F43FB">
        <w:rPr>
          <w:rFonts w:ascii="Arial" w:hAnsi="Arial" w:cs="Arial"/>
          <w:sz w:val="22"/>
          <w:szCs w:val="22"/>
        </w:rPr>
        <w:t xml:space="preserve">viz </w:t>
      </w:r>
      <w:r w:rsidR="004A5B21" w:rsidRPr="000F43FB">
        <w:rPr>
          <w:rFonts w:ascii="Arial" w:hAnsi="Arial" w:cs="Arial"/>
          <w:sz w:val="22"/>
          <w:szCs w:val="22"/>
        </w:rPr>
        <w:t>P</w:t>
      </w:r>
      <w:r w:rsidR="00D6451F" w:rsidRPr="000F43FB">
        <w:rPr>
          <w:rFonts w:ascii="Arial" w:hAnsi="Arial" w:cs="Arial"/>
          <w:sz w:val="22"/>
          <w:szCs w:val="22"/>
        </w:rPr>
        <w:t xml:space="preserve">říloha č. </w:t>
      </w:r>
      <w:r w:rsidR="000F43FB">
        <w:rPr>
          <w:rFonts w:ascii="Arial" w:hAnsi="Arial" w:cs="Arial"/>
          <w:sz w:val="22"/>
          <w:szCs w:val="22"/>
        </w:rPr>
        <w:t>1</w:t>
      </w:r>
      <w:r w:rsidR="00500B0F" w:rsidRPr="000F43FB">
        <w:rPr>
          <w:rFonts w:ascii="Arial" w:hAnsi="Arial" w:cs="Arial"/>
          <w:sz w:val="22"/>
          <w:szCs w:val="22"/>
        </w:rPr>
        <w:t>).</w:t>
      </w:r>
    </w:p>
    <w:p w14:paraId="2D78EFEF" w14:textId="55F1FC9B" w:rsidR="00FD4817" w:rsidRPr="00014665" w:rsidRDefault="00FD4817" w:rsidP="008A26B7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4434E1">
        <w:rPr>
          <w:rFonts w:ascii="Arial" w:hAnsi="Arial" w:cs="Arial"/>
          <w:sz w:val="22"/>
          <w:szCs w:val="22"/>
        </w:rPr>
        <w:t xml:space="preserve">Pobočka </w:t>
      </w:r>
      <w:r w:rsidR="007F58F4">
        <w:rPr>
          <w:rFonts w:ascii="Arial" w:hAnsi="Arial" w:cs="Arial"/>
          <w:sz w:val="22"/>
          <w:szCs w:val="22"/>
        </w:rPr>
        <w:t>Nový Jičín</w:t>
      </w:r>
      <w:r w:rsidR="004434E1">
        <w:rPr>
          <w:rFonts w:ascii="Arial" w:hAnsi="Arial" w:cs="Arial"/>
          <w:sz w:val="22"/>
          <w:szCs w:val="22"/>
        </w:rPr>
        <w:t xml:space="preserve">, </w:t>
      </w:r>
      <w:r w:rsidR="007F58F4" w:rsidRPr="007F58F4">
        <w:rPr>
          <w:rFonts w:ascii="Arial" w:hAnsi="Arial" w:cs="Arial"/>
          <w:sz w:val="22"/>
          <w:szCs w:val="22"/>
        </w:rPr>
        <w:t>Husova 2003/13, 741 01 Nový Jičín</w:t>
      </w:r>
      <w:r w:rsidR="004434E1">
        <w:rPr>
          <w:rFonts w:ascii="Arial" w:hAnsi="Arial" w:cs="Arial"/>
          <w:sz w:val="22"/>
          <w:szCs w:val="22"/>
        </w:rPr>
        <w:t>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9922F9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4DF59BC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73DFDA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4434E1">
        <w:rPr>
          <w:rFonts w:ascii="Arial" w:hAnsi="Arial" w:cs="Arial"/>
          <w:sz w:val="22"/>
          <w:szCs w:val="22"/>
        </w:rPr>
        <w:t>10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B0248B">
      <w:pPr>
        <w:pStyle w:val="Zkladntextodsazen2"/>
        <w:numPr>
          <w:ilvl w:val="1"/>
          <w:numId w:val="53"/>
        </w:numPr>
        <w:spacing w:after="480"/>
        <w:ind w:left="573" w:hanging="573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B0248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360"/>
        <w:ind w:left="573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3569D3C0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1710DC">
        <w:rPr>
          <w:rFonts w:ascii="Arial" w:hAnsi="Arial" w:cs="Arial"/>
          <w:b/>
          <w:bCs/>
          <w:sz w:val="22"/>
          <w:szCs w:val="22"/>
        </w:rPr>
        <w:t>450</w:t>
      </w:r>
      <w:r w:rsidR="004434E1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4434E1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4434E1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4434E1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4434E1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6627C3E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434E1">
        <w:rPr>
          <w:rFonts w:ascii="Arial" w:hAnsi="Arial" w:cs="Arial"/>
          <w:b/>
          <w:snapToGrid w:val="0"/>
          <w:sz w:val="22"/>
          <w:szCs w:val="22"/>
        </w:rPr>
        <w:t>Moravskoslezský kraj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Pobočka</w:t>
      </w:r>
      <w:r w:rsidR="004434E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7F58F4">
        <w:rPr>
          <w:rFonts w:ascii="Arial" w:hAnsi="Arial" w:cs="Arial"/>
          <w:b/>
          <w:snapToGrid w:val="0"/>
          <w:sz w:val="22"/>
          <w:szCs w:val="22"/>
        </w:rPr>
        <w:t>Nový Jičín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4434E1" w:rsidRPr="004434E1">
        <w:t xml:space="preserve"> </w:t>
      </w:r>
      <w:r w:rsidR="007F58F4" w:rsidRPr="007F58F4">
        <w:rPr>
          <w:rFonts w:ascii="Arial" w:hAnsi="Arial" w:cs="Arial"/>
          <w:snapToGrid w:val="0"/>
          <w:sz w:val="22"/>
          <w:szCs w:val="22"/>
        </w:rPr>
        <w:t>Husova 2003/13, 741 01 Nový Jičín</w:t>
      </w:r>
      <w:r w:rsidR="004434E1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2866B139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</w:t>
      </w:r>
      <w:r w:rsidR="003B5F31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340/2015 Sb., o zvláštních podmínkách účinnosti některých smluv, uveřejňování těchto smluv 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1F5AFA14" w14:textId="59851905" w:rsidR="000F43FB" w:rsidRPr="008F0D6B" w:rsidRDefault="000F43FB" w:rsidP="000F43FB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8F0D6B">
        <w:rPr>
          <w:rFonts w:ascii="Arial" w:hAnsi="Arial" w:cs="Arial"/>
          <w:sz w:val="22"/>
          <w:szCs w:val="22"/>
        </w:rPr>
        <w:t>Neoddělitelnou sou</w:t>
      </w:r>
      <w:r w:rsidRPr="008F0D6B">
        <w:rPr>
          <w:rFonts w:ascii="Arial" w:hAnsi="Arial" w:cs="Arial"/>
          <w:sz w:val="22"/>
          <w:szCs w:val="22"/>
          <w:u w:color="FF0000"/>
        </w:rPr>
        <w:t>část</w:t>
      </w:r>
      <w:r w:rsidRPr="008F0D6B">
        <w:rPr>
          <w:rFonts w:ascii="Arial" w:hAnsi="Arial" w:cs="Arial"/>
          <w:sz w:val="22"/>
          <w:szCs w:val="22"/>
        </w:rPr>
        <w:t xml:space="preserve">í této smlouvy je Příloha č. 1 – Přehled vytyčovaných hranic parcel </w:t>
      </w:r>
      <w:r>
        <w:rPr>
          <w:rFonts w:ascii="Arial" w:hAnsi="Arial" w:cs="Arial"/>
          <w:sz w:val="22"/>
          <w:szCs w:val="22"/>
        </w:rPr>
        <w:t>Nový Jičín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583F1ABD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03FDC">
        <w:rPr>
          <w:rFonts w:ascii="Arial" w:hAnsi="Arial" w:cs="Arial"/>
          <w:sz w:val="22"/>
          <w:szCs w:val="22"/>
        </w:rPr>
        <w:t>Ostrava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590B9DBE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Datum: </w:t>
      </w:r>
      <w:r w:rsidR="00003FDC">
        <w:rPr>
          <w:rFonts w:ascii="Arial" w:hAnsi="Arial" w:cs="Arial"/>
          <w:sz w:val="22"/>
          <w:szCs w:val="22"/>
        </w:rPr>
        <w:t>dle el. podpisu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="00003FDC">
        <w:rPr>
          <w:rFonts w:ascii="Arial" w:hAnsi="Arial" w:cs="Arial"/>
          <w:sz w:val="22"/>
          <w:szCs w:val="22"/>
        </w:rPr>
        <w:t>dle el. podpisu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5D06285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03FDC">
        <w:rPr>
          <w:rFonts w:ascii="Arial" w:hAnsi="Arial" w:cs="Arial"/>
          <w:sz w:val="22"/>
          <w:szCs w:val="22"/>
        </w:rPr>
        <w:t>Mgr. Dana Lišková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43C35C81" w:rsidR="00BB303E" w:rsidRDefault="00BB303E" w:rsidP="00003FDC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03FDC">
        <w:rPr>
          <w:rFonts w:ascii="Arial" w:hAnsi="Arial" w:cs="Arial"/>
          <w:sz w:val="22"/>
          <w:szCs w:val="22"/>
        </w:rPr>
        <w:t>Ředitelka Krajského pozemkového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38C0A99D" w14:textId="632DC32E" w:rsidR="00003FDC" w:rsidRPr="00014665" w:rsidRDefault="00003FDC" w:rsidP="00003FDC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Moravskoslezský kraj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31CD22" w14:textId="329BAD38" w:rsidR="000F43FB" w:rsidRPr="00014665" w:rsidRDefault="000F43FB" w:rsidP="000F43FB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8F0D6B">
        <w:rPr>
          <w:rFonts w:ascii="Arial" w:hAnsi="Arial" w:cs="Arial"/>
          <w:sz w:val="22"/>
          <w:szCs w:val="22"/>
        </w:rPr>
        <w:t xml:space="preserve">Přehled vytyčovaných hranic parcel </w:t>
      </w:r>
      <w:r>
        <w:rPr>
          <w:rFonts w:ascii="Arial" w:hAnsi="Arial" w:cs="Arial"/>
          <w:sz w:val="22"/>
          <w:szCs w:val="22"/>
        </w:rPr>
        <w:t>Nový Jičín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932B995" w:rsidR="00FF0C21" w:rsidRPr="00591192" w:rsidRDefault="00591192" w:rsidP="00591192">
    <w:pPr>
      <w:pStyle w:val="Zhlav"/>
    </w:pPr>
    <w:r w:rsidRPr="00591192">
      <w:rPr>
        <w:rFonts w:ascii="Arial" w:hAnsi="Arial" w:cs="Arial"/>
        <w:sz w:val="16"/>
        <w:szCs w:val="16"/>
      </w:rPr>
      <w:t xml:space="preserve">Vytyčení hranic pozemků po KoPÚ v okresech </w:t>
    </w:r>
    <w:r w:rsidR="007F58F4">
      <w:rPr>
        <w:rFonts w:ascii="Arial" w:hAnsi="Arial" w:cs="Arial"/>
        <w:sz w:val="16"/>
        <w:szCs w:val="16"/>
      </w:rPr>
      <w:t>Nový Jičín</w:t>
    </w:r>
    <w:r>
      <w:rPr>
        <w:rFonts w:ascii="Arial" w:hAnsi="Arial" w:cs="Arial"/>
        <w:sz w:val="16"/>
        <w:szCs w:val="16"/>
      </w:rPr>
      <w:t xml:space="preserve"> 202</w:t>
    </w:r>
    <w:r w:rsidR="00F638E0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-202</w:t>
    </w:r>
    <w:r w:rsidR="00F638E0">
      <w:rPr>
        <w:rFonts w:ascii="Arial" w:hAnsi="Arial" w:cs="Arial"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C9FE" w14:textId="77777777" w:rsidR="00591192" w:rsidRDefault="00FF0C21" w:rsidP="007F58F4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4111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</w:t>
    </w:r>
    <w:r w:rsidR="00591192">
      <w:rPr>
        <w:rFonts w:ascii="Arial" w:hAnsi="Arial" w:cs="Arial"/>
        <w:sz w:val="16"/>
        <w:szCs w:val="16"/>
      </w:rPr>
      <w:t> </w:t>
    </w:r>
    <w:r w:rsidRPr="00FF7DBF">
      <w:rPr>
        <w:rFonts w:ascii="Arial" w:hAnsi="Arial" w:cs="Arial"/>
        <w:sz w:val="16"/>
        <w:szCs w:val="16"/>
      </w:rPr>
      <w:t>ASPÚ</w:t>
    </w:r>
    <w:r w:rsidR="00591192">
      <w:rPr>
        <w:rFonts w:ascii="Arial" w:hAnsi="Arial" w:cs="Arial"/>
        <w:sz w:val="16"/>
        <w:szCs w:val="16"/>
      </w:rPr>
      <w:t>)</w:t>
    </w:r>
  </w:p>
  <w:p w14:paraId="12A62E41" w14:textId="632B0AD6" w:rsidR="00FF0C21" w:rsidRPr="00FF7DBF" w:rsidRDefault="00591192" w:rsidP="007F58F4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411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FF0C21" w:rsidRPr="00FF7DBF">
      <w:rPr>
        <w:rFonts w:ascii="Arial" w:hAnsi="Arial" w:cs="Arial"/>
        <w:sz w:val="16"/>
        <w:szCs w:val="16"/>
      </w:rPr>
      <w:t>Číslo Smlouvy Zhotovitele:</w:t>
    </w:r>
    <w:r w:rsidR="00FF0C21" w:rsidRPr="00FF7DBF">
      <w:rPr>
        <w:rFonts w:ascii="Arial" w:hAnsi="Arial" w:cs="Arial"/>
        <w:sz w:val="16"/>
        <w:szCs w:val="16"/>
      </w:rPr>
      <w:tab/>
    </w:r>
  </w:p>
  <w:p w14:paraId="6E5EE429" w14:textId="189BDB7C" w:rsidR="00FF0C21" w:rsidRPr="0025120D" w:rsidRDefault="00FF0C21" w:rsidP="007F58F4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4111"/>
      </w:tabs>
      <w:rPr>
        <w:sz w:val="14"/>
      </w:rPr>
    </w:pPr>
    <w:r w:rsidRPr="00FF7DBF">
      <w:rPr>
        <w:rFonts w:ascii="Arial" w:hAnsi="Arial" w:cs="Arial"/>
        <w:sz w:val="16"/>
        <w:szCs w:val="16"/>
      </w:rPr>
      <w:tab/>
    </w:r>
    <w:r w:rsidR="000E520C" w:rsidRPr="000E520C">
      <w:rPr>
        <w:rFonts w:ascii="Arial" w:hAnsi="Arial" w:cs="Arial"/>
        <w:sz w:val="16"/>
        <w:szCs w:val="16"/>
      </w:rPr>
      <w:t xml:space="preserve">Vytyčení hranic pozemků po KoPÚ v okresech </w:t>
    </w:r>
    <w:r w:rsidR="007F58F4">
      <w:rPr>
        <w:rFonts w:ascii="Arial" w:hAnsi="Arial" w:cs="Arial"/>
        <w:sz w:val="16"/>
        <w:szCs w:val="16"/>
      </w:rPr>
      <w:t>Nový Jičín</w:t>
    </w:r>
    <w:r w:rsidR="00591192">
      <w:rPr>
        <w:rFonts w:ascii="Arial" w:hAnsi="Arial" w:cs="Arial"/>
        <w:sz w:val="16"/>
        <w:szCs w:val="16"/>
      </w:rPr>
      <w:t xml:space="preserve"> 202</w:t>
    </w:r>
    <w:r w:rsidR="002566BF">
      <w:rPr>
        <w:rFonts w:ascii="Arial" w:hAnsi="Arial" w:cs="Arial"/>
        <w:sz w:val="16"/>
        <w:szCs w:val="16"/>
      </w:rPr>
      <w:t>2</w:t>
    </w:r>
    <w:r w:rsidR="00591192">
      <w:rPr>
        <w:rFonts w:ascii="Arial" w:hAnsi="Arial" w:cs="Arial"/>
        <w:sz w:val="16"/>
        <w:szCs w:val="16"/>
      </w:rPr>
      <w:t>-202</w:t>
    </w:r>
    <w:r w:rsidR="002566BF">
      <w:rPr>
        <w:rFonts w:ascii="Arial" w:hAnsi="Arial" w:cs="Arial"/>
        <w:sz w:val="16"/>
        <w:szCs w:val="16"/>
      </w:rPr>
      <w:t>3</w:t>
    </w: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D94603"/>
    <w:multiLevelType w:val="multilevel"/>
    <w:tmpl w:val="5CDCE8DC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9"/>
  </w:num>
  <w:num w:numId="11">
    <w:abstractNumId w:val="0"/>
  </w:num>
  <w:num w:numId="12">
    <w:abstractNumId w:val="39"/>
  </w:num>
  <w:num w:numId="13">
    <w:abstractNumId w:val="52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50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8"/>
  </w:num>
  <w:num w:numId="24">
    <w:abstractNumId w:val="53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6"/>
  </w:num>
  <w:num w:numId="41">
    <w:abstractNumId w:val="25"/>
  </w:num>
  <w:num w:numId="42">
    <w:abstractNumId w:val="18"/>
  </w:num>
  <w:num w:numId="43">
    <w:abstractNumId w:val="47"/>
  </w:num>
  <w:num w:numId="44">
    <w:abstractNumId w:val="11"/>
  </w:num>
  <w:num w:numId="45">
    <w:abstractNumId w:val="41"/>
  </w:num>
  <w:num w:numId="46">
    <w:abstractNumId w:val="51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4"/>
  </w:num>
  <w:num w:numId="62">
    <w:abstractNumId w:val="17"/>
  </w:num>
  <w:num w:numId="63">
    <w:abstractNumId w:val="4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3FDC"/>
    <w:rsid w:val="00004F6C"/>
    <w:rsid w:val="00011811"/>
    <w:rsid w:val="00014665"/>
    <w:rsid w:val="00015AA5"/>
    <w:rsid w:val="0002251A"/>
    <w:rsid w:val="00022DBD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20C"/>
    <w:rsid w:val="000E5BEB"/>
    <w:rsid w:val="000E7B4A"/>
    <w:rsid w:val="000F43FB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10DC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66BF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B5F31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434E1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1192"/>
    <w:rsid w:val="00593A97"/>
    <w:rsid w:val="00595B77"/>
    <w:rsid w:val="00596CCA"/>
    <w:rsid w:val="00597AAD"/>
    <w:rsid w:val="005A0078"/>
    <w:rsid w:val="005A109E"/>
    <w:rsid w:val="005A457D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58F4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A26B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248B"/>
    <w:rsid w:val="00B2052C"/>
    <w:rsid w:val="00B24B48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71FDC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1F4C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028E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3139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8E0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Hypertextovodkaz">
    <w:name w:val="Hyperlink"/>
    <w:basedOn w:val="Standardnpsmoodstavce"/>
    <w:uiPriority w:val="99"/>
    <w:unhideWhenUsed/>
    <w:rsid w:val="000E520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.mikus@spuc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10cb3f4-6df0-432d-a88a-550b10af4063"/>
    <ds:schemaRef ds:uri="96d89aea-7c17-4746-a528-e0c0b049a2f4"/>
    <ds:schemaRef ds:uri="0e91f575-6fab-42fd-90b1-cf5076f1288e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4786</Words>
  <Characters>28240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Prášková Michaela Mgr.</cp:lastModifiedBy>
  <cp:revision>15</cp:revision>
  <cp:lastPrinted>2019-05-02T06:41:00Z</cp:lastPrinted>
  <dcterms:created xsi:type="dcterms:W3CDTF">2021-03-26T07:11:00Z</dcterms:created>
  <dcterms:modified xsi:type="dcterms:W3CDTF">2023-02-03T06:09:00Z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